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030223E5" w14:textId="1CD14E02" w:rsidR="00FA433B" w:rsidRDefault="5700B97E" w:rsidP="00FA433B">
      <w:pPr>
        <w:spacing w:before="240" w:after="0" w:line="278" w:lineRule="auto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Hon. </w:t>
      </w:r>
      <w:r w:rsidR="00FA433B">
        <w:rPr>
          <w:rFonts w:ascii="Aptos" w:eastAsia="Aptos" w:hAnsi="Aptos" w:cs="Aptos"/>
        </w:rPr>
        <w:t>Mark Butler</w:t>
      </w:r>
      <w:r>
        <w:br/>
      </w:r>
      <w:r w:rsidRPr="43C7EFB5">
        <w:rPr>
          <w:rFonts w:ascii="Aptos" w:eastAsia="Aptos" w:hAnsi="Aptos" w:cs="Aptos"/>
        </w:rPr>
        <w:t xml:space="preserve">Minister for Health </w:t>
      </w:r>
      <w:r w:rsidR="00FA433B">
        <w:rPr>
          <w:rFonts w:ascii="Aptos" w:eastAsia="Aptos" w:hAnsi="Aptos" w:cs="Aptos"/>
        </w:rPr>
        <w:t>and Ageing</w:t>
      </w:r>
    </w:p>
    <w:p w14:paraId="5B5AB055" w14:textId="42320B62" w:rsidR="00FA433B" w:rsidRDefault="00FA433B" w:rsidP="00FA433B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Minister for Disability and the National Disability Insurance Scheme</w:t>
      </w:r>
    </w:p>
    <w:p w14:paraId="2A684E07" w14:textId="77777777" w:rsidR="00FA433B" w:rsidRDefault="00FA433B" w:rsidP="00FA433B">
      <w:pPr>
        <w:spacing w:after="0" w:line="278" w:lineRule="auto"/>
        <w:rPr>
          <w:rFonts w:ascii="Aptos" w:eastAsia="Aptos" w:hAnsi="Aptos" w:cs="Aptos"/>
        </w:rPr>
      </w:pPr>
    </w:p>
    <w:p w14:paraId="7B49557E" w14:textId="01E744C6" w:rsidR="00FA433B" w:rsidRDefault="00FA433B" w:rsidP="00FA433B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824DA7" w:rsidRPr="00EB0E03">
          <w:rPr>
            <w:rStyle w:val="Hyperlink"/>
            <w:rFonts w:ascii="Aptos" w:eastAsia="Aptos" w:hAnsi="Aptos" w:cs="Aptos"/>
          </w:rPr>
          <w:t>minister.butler@health.gov.au</w:t>
        </w:r>
      </w:hyperlink>
      <w:r w:rsidR="00824DA7">
        <w:rPr>
          <w:rFonts w:ascii="Aptos" w:eastAsia="Aptos" w:hAnsi="Aptos" w:cs="Aptos"/>
        </w:rPr>
        <w:t xml:space="preserve"> </w:t>
      </w:r>
    </w:p>
    <w:p w14:paraId="35C27A2D" w14:textId="77777777" w:rsidR="00FA433B" w:rsidRPr="00FA433B" w:rsidRDefault="00FA433B" w:rsidP="00FA433B">
      <w:pPr>
        <w:spacing w:after="240" w:line="278" w:lineRule="auto"/>
        <w:rPr>
          <w:rFonts w:ascii="Aptos" w:eastAsia="Aptos" w:hAnsi="Aptos" w:cs="Aptos"/>
        </w:rPr>
      </w:pPr>
    </w:p>
    <w:p w14:paraId="02B0396E" w14:textId="73E5152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>with A</w:t>
      </w:r>
      <w:r w:rsidR="00304211">
        <w:rPr>
          <w:rFonts w:ascii="Aptos" w:eastAsia="Aptos" w:hAnsi="Aptos" w:cs="Aptos"/>
        </w:rPr>
        <w:t>phra</w:t>
      </w:r>
      <w:r w:rsidR="00DE3FC1">
        <w:rPr>
          <w:rFonts w:ascii="Aptos" w:eastAsia="Aptos" w:hAnsi="Aptos" w:cs="Aptos"/>
        </w:rPr>
        <w:t xml:space="preserve">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601BD3E6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Butler</w:t>
      </w:r>
      <w:r w:rsidRPr="43C7EFB5">
        <w:rPr>
          <w:rFonts w:ascii="Aptos" w:eastAsia="Aptos" w:hAnsi="Aptos" w:cs="Aptos"/>
        </w:rPr>
        <w:t>,</w:t>
      </w:r>
    </w:p>
    <w:p w14:paraId="7B6E8A19" w14:textId="3363FEB6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am writing as a </w:t>
      </w:r>
      <w:r w:rsidR="004D1093" w:rsidRPr="004D1093">
        <w:rPr>
          <w:rFonts w:ascii="Aptos" w:eastAsia="Aptos" w:hAnsi="Aptos" w:cs="Aptos"/>
        </w:rPr>
        <w:t>s</w:t>
      </w:r>
      <w:r w:rsidRPr="004D1093">
        <w:rPr>
          <w:rFonts w:ascii="Aptos" w:eastAsia="Aptos" w:hAnsi="Aptos" w:cs="Aptos"/>
        </w:rPr>
        <w:t>ocial worker</w:t>
      </w:r>
      <w:r w:rsidRPr="1B2118D3">
        <w:rPr>
          <w:rFonts w:ascii="Aptos" w:eastAsia="Aptos" w:hAnsi="Aptos" w:cs="Aptos"/>
        </w:rPr>
        <w:t xml:space="preserve"> </w:t>
      </w:r>
      <w:r w:rsidR="5DDDFA0D" w:rsidRPr="1B2118D3">
        <w:rPr>
          <w:rFonts w:ascii="Aptos" w:eastAsia="Aptos" w:hAnsi="Aptos" w:cs="Aptos"/>
        </w:rPr>
        <w:t xml:space="preserve">in </w:t>
      </w:r>
      <w:r w:rsidR="00824DA7">
        <w:rPr>
          <w:rFonts w:ascii="Aptos" w:eastAsia="Aptos" w:hAnsi="Aptos" w:cs="Aptos"/>
        </w:rPr>
        <w:t>Australia</w:t>
      </w:r>
      <w:r w:rsidR="5DDDFA0D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 xml:space="preserve">to demand action on an urgent matter of public safety: </w:t>
      </w:r>
      <w:r w:rsidRPr="1B2118D3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1B2118D3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lastRenderedPageBreak/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033A2296" w14:textId="1E567153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2C078E63" w14:textId="4B03D560" w:rsidR="00892603" w:rsidRDefault="00892603"/>
    <w:sectPr w:rsidR="00892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61E0"/>
    <w:rsid w:val="00770F89"/>
    <w:rsid w:val="0077738D"/>
    <w:rsid w:val="007916CC"/>
    <w:rsid w:val="00796EC1"/>
    <w:rsid w:val="007A5450"/>
    <w:rsid w:val="007B1C15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903FF"/>
    <w:rsid w:val="00996A11"/>
    <w:rsid w:val="009B76CF"/>
    <w:rsid w:val="009D5C03"/>
    <w:rsid w:val="009D61D5"/>
    <w:rsid w:val="00A32808"/>
    <w:rsid w:val="00A33974"/>
    <w:rsid w:val="00A34F78"/>
    <w:rsid w:val="00A812D3"/>
    <w:rsid w:val="00A82279"/>
    <w:rsid w:val="00A95E29"/>
    <w:rsid w:val="00AD6885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.butler@health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2587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Jamie Ling</cp:lastModifiedBy>
  <cp:revision>2</cp:revision>
  <dcterms:created xsi:type="dcterms:W3CDTF">2025-09-23T02:46:00Z</dcterms:created>
  <dcterms:modified xsi:type="dcterms:W3CDTF">2025-09-23T02:46:00Z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